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58796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8C7DA5">
        <w:rPr>
          <w:rFonts w:ascii="Calibri" w:hAnsi="Calibri" w:cs="Calibri"/>
        </w:rPr>
        <w:t>raport</w:t>
      </w:r>
      <w:r w:rsidR="00DE6594">
        <w:rPr>
          <w:rFonts w:ascii="Calibri" w:hAnsi="Calibri" w:cs="Calibri"/>
        </w:rPr>
        <w:t xml:space="preserve"> za IV</w:t>
      </w:r>
      <w:r w:rsidRPr="00415F46">
        <w:rPr>
          <w:rFonts w:ascii="Calibri" w:hAnsi="Calibri" w:cs="Calibri"/>
        </w:rPr>
        <w:t xml:space="preserve"> kwartał 2020 r. z postępu rzeczowo-finansowego </w:t>
      </w:r>
      <w:r w:rsidR="008C7DA5">
        <w:rPr>
          <w:rFonts w:ascii="Calibri" w:hAnsi="Calibri" w:cs="Calibri"/>
        </w:rPr>
        <w:t>następującego projektu informatycznego</w:t>
      </w:r>
      <w:r w:rsidRPr="00415F46">
        <w:rPr>
          <w:rFonts w:ascii="Calibri" w:hAnsi="Calibri" w:cs="Calibri"/>
        </w:rPr>
        <w:t>:</w:t>
      </w:r>
    </w:p>
    <w:p w:rsidR="00415F46" w:rsidRPr="008C7DA5" w:rsidRDefault="008C7DA5" w:rsidP="008C7DA5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8C7DA5">
        <w:rPr>
          <w:rFonts w:ascii="Calibri" w:eastAsia="Calibri" w:hAnsi="Calibri"/>
          <w:b/>
          <w:szCs w:val="22"/>
          <w:lang w:eastAsia="en-US"/>
        </w:rPr>
        <w:t>Otwarte Narodowe.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C7DA5">
        <w:rPr>
          <w:rFonts w:ascii="Calibri" w:eastAsia="Calibri" w:hAnsi="Calibri"/>
          <w:b/>
          <w:szCs w:val="22"/>
          <w:lang w:eastAsia="en-US"/>
        </w:rPr>
        <w:t>Narodowego w Warszawie</w:t>
      </w:r>
      <w:r w:rsidRPr="008C7DA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8C7DA5">
        <w:rPr>
          <w:rFonts w:ascii="Calibri" w:eastAsia="Calibri" w:hAnsi="Calibri"/>
          <w:szCs w:val="22"/>
          <w:lang w:eastAsia="en-US"/>
        </w:rPr>
        <w:t>-</w:t>
      </w:r>
      <w:r w:rsidR="00584952" w:rsidRPr="008C7DA5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8C7DA5">
        <w:rPr>
          <w:rFonts w:ascii="Calibri" w:eastAsia="Calibri" w:hAnsi="Calibri"/>
          <w:szCs w:val="22"/>
          <w:lang w:eastAsia="en-US"/>
        </w:rPr>
        <w:t xml:space="preserve">wnioskodawca </w:t>
      </w:r>
      <w:r w:rsidRPr="008C7DA5">
        <w:rPr>
          <w:rFonts w:ascii="Calibri" w:eastAsia="Calibri" w:hAnsi="Calibri"/>
          <w:szCs w:val="22"/>
          <w:lang w:eastAsia="en-US"/>
        </w:rPr>
        <w:t>Minister Kultury i Dziedzictwa Narodowego i Sportu</w:t>
      </w:r>
      <w:r w:rsidR="00584952" w:rsidRPr="008C7DA5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Muzeum Narodowe w Warszawie</w:t>
      </w:r>
      <w:r w:rsidR="00587961">
        <w:rPr>
          <w:rFonts w:ascii="Calibri" w:eastAsia="Calibri" w:hAnsi="Calibri"/>
          <w:szCs w:val="22"/>
          <w:lang w:eastAsia="en-US"/>
        </w:rPr>
        <w:t>.</w:t>
      </w:r>
      <w:bookmarkStart w:id="0" w:name="_GoBack"/>
      <w:bookmarkEnd w:id="0"/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8C7DA5">
        <w:rPr>
          <w:rFonts w:asciiTheme="minorHAnsi" w:hAnsiTheme="minorHAnsi" w:cstheme="minorHAnsi"/>
          <w:b/>
          <w:u w:val="single"/>
        </w:rPr>
        <w:t>12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8C7DA5" w:rsidP="00415F46">
      <w:pPr>
        <w:spacing w:before="120" w:line="264" w:lineRule="auto"/>
        <w:rPr>
          <w:rFonts w:ascii="Calibri" w:hAnsi="Calibri"/>
        </w:rPr>
      </w:pPr>
      <w:r>
        <w:rPr>
          <w:rFonts w:ascii="Calibri" w:hAnsi="Calibri"/>
        </w:rPr>
        <w:t>W przypadku braku uwag, raport zostanie uznany za pozytywnie zaopiniowany</w:t>
      </w:r>
      <w:r w:rsidR="00584952" w:rsidRPr="00415F46">
        <w:rPr>
          <w:rFonts w:ascii="Calibri" w:hAnsi="Calibri"/>
        </w:rPr>
        <w:t xml:space="preserve">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Jednocześni</w:t>
      </w:r>
      <w:r w:rsidR="008C7DA5">
        <w:rPr>
          <w:rFonts w:ascii="Calibri" w:hAnsi="Calibri"/>
        </w:rPr>
        <w:t>e informuję, że ww. raport zamieszczony</w:t>
      </w:r>
      <w:r w:rsidRPr="00415F46">
        <w:rPr>
          <w:rFonts w:ascii="Calibri" w:hAnsi="Calibri"/>
        </w:rPr>
        <w:t xml:space="preserve">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587961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587961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587961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Default="00587961" w:rsidP="00415F46">
      <w:pPr>
        <w:spacing w:before="120" w:after="120" w:line="264" w:lineRule="auto"/>
        <w:rPr>
          <w:rFonts w:ascii="Calibri" w:hAnsi="Calibri"/>
        </w:rPr>
      </w:pPr>
    </w:p>
    <w:p w:rsidR="008C7DA5" w:rsidRDefault="008C7DA5" w:rsidP="00415F46">
      <w:pPr>
        <w:spacing w:before="120" w:after="120" w:line="264" w:lineRule="auto"/>
        <w:rPr>
          <w:rFonts w:ascii="Calibri" w:hAnsi="Calibri"/>
        </w:rPr>
      </w:pPr>
    </w:p>
    <w:p w:rsidR="008C7DA5" w:rsidRDefault="008C7DA5" w:rsidP="00415F46">
      <w:pPr>
        <w:spacing w:before="120" w:after="120" w:line="264" w:lineRule="auto"/>
        <w:rPr>
          <w:rFonts w:ascii="Calibri" w:hAnsi="Calibri"/>
        </w:rPr>
      </w:pPr>
    </w:p>
    <w:p w:rsidR="008C7DA5" w:rsidRDefault="008C7DA5" w:rsidP="00415F46">
      <w:pPr>
        <w:spacing w:before="120" w:after="120" w:line="264" w:lineRule="auto"/>
        <w:rPr>
          <w:rFonts w:ascii="Calibri" w:hAnsi="Calibri"/>
        </w:rPr>
      </w:pPr>
    </w:p>
    <w:p w:rsidR="008C7DA5" w:rsidRPr="00415F46" w:rsidRDefault="008C7DA5" w:rsidP="00415F46">
      <w:pPr>
        <w:spacing w:before="120" w:after="120" w:line="264" w:lineRule="auto"/>
        <w:rPr>
          <w:rFonts w:ascii="Calibri" w:hAnsi="Calibri"/>
        </w:rPr>
      </w:pPr>
    </w:p>
    <w:p w:rsidR="001F3AB4" w:rsidRPr="008C7DA5" w:rsidRDefault="001F3AB4" w:rsidP="008C7DA5">
      <w:pPr>
        <w:tabs>
          <w:tab w:val="left" w:pos="5812"/>
        </w:tabs>
        <w:spacing w:line="264" w:lineRule="auto"/>
        <w:rPr>
          <w:rFonts w:ascii="Calibri" w:hAnsi="Calibri"/>
          <w:i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1F3AB4" w:rsidRPr="00052B7B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1F3AB4" w:rsidRDefault="001F3AB4" w:rsidP="001F3A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1F3AB4" w:rsidRDefault="001F3AB4" w:rsidP="001F3A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1F3AB4" w:rsidRDefault="001F3AB4" w:rsidP="001F3A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1F3AB4" w:rsidRDefault="001F3AB4" w:rsidP="001F3A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F3AB4" w:rsidRDefault="001F3AB4" w:rsidP="001F3A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1F3AB4" w:rsidRDefault="001F3AB4" w:rsidP="001F3AB4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1F3AB4" w:rsidRDefault="001F3AB4" w:rsidP="001F3AB4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54" w:rsidRDefault="008B2354">
      <w:r>
        <w:separator/>
      </w:r>
    </w:p>
  </w:endnote>
  <w:endnote w:type="continuationSeparator" w:id="0">
    <w:p w:rsidR="008B2354" w:rsidRDefault="008B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54" w:rsidRDefault="008B2354">
      <w:r>
        <w:separator/>
      </w:r>
    </w:p>
  </w:footnote>
  <w:footnote w:type="continuationSeparator" w:id="0">
    <w:p w:rsidR="008B2354" w:rsidRDefault="008B2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587961" w:rsidP="00356E95">
    <w:pPr>
      <w:pStyle w:val="Nagwek"/>
      <w:jc w:val="right"/>
    </w:pPr>
  </w:p>
  <w:p w:rsidR="00F21B71" w:rsidRDefault="00587961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>Warszawa, dnia</w:t>
    </w:r>
    <w:r w:rsidR="008C7DA5">
      <w:t xml:space="preserve"> 4</w:t>
    </w:r>
    <w:r>
      <w:t xml:space="preserve"> </w:t>
    </w:r>
    <w:r w:rsidR="008C7DA5">
      <w:t>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58796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8C7DA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8C7DA5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DAIP.WOKRM.0102.64.1.2021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8796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8C7DA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8C7DA5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DAIP.WOKRM.0102.64.1.2021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1E0ADF"/>
    <w:rsid w:val="001F3AB4"/>
    <w:rsid w:val="003B3D7D"/>
    <w:rsid w:val="00433E65"/>
    <w:rsid w:val="00435687"/>
    <w:rsid w:val="00584952"/>
    <w:rsid w:val="00587961"/>
    <w:rsid w:val="005D13ED"/>
    <w:rsid w:val="005D161D"/>
    <w:rsid w:val="008B2354"/>
    <w:rsid w:val="008C7DA5"/>
    <w:rsid w:val="009A246C"/>
    <w:rsid w:val="009B105D"/>
    <w:rsid w:val="00A4418B"/>
    <w:rsid w:val="00BE168D"/>
    <w:rsid w:val="00DE6594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6061-DEE3-4937-99A6-1EC343F65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9</cp:revision>
  <cp:lastPrinted>2018-05-09T10:02:00Z</cp:lastPrinted>
  <dcterms:created xsi:type="dcterms:W3CDTF">2021-01-20T13:50:00Z</dcterms:created>
  <dcterms:modified xsi:type="dcterms:W3CDTF">2021-02-04T12:43:00Z</dcterms:modified>
</cp:coreProperties>
</file>